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41A8" w:rsidRDefault="003C3E7A">
      <w:pPr>
        <w:jc w:val="center"/>
        <w:rPr>
          <w:b/>
        </w:rPr>
      </w:pPr>
      <w:r>
        <w:rPr>
          <w:noProof/>
          <w:lang w:val="en-US"/>
        </w:rPr>
        <w:drawing>
          <wp:anchor distT="0" distB="0" distL="0" distR="0" simplePos="0" relativeHeight="251658240" behindDoc="1" locked="0" layoutInCell="1" hidden="0" allowOverlap="1">
            <wp:simplePos x="0" y="0"/>
            <wp:positionH relativeFrom="page">
              <wp:posOffset>5534025</wp:posOffset>
            </wp:positionH>
            <wp:positionV relativeFrom="page">
              <wp:posOffset>571500</wp:posOffset>
            </wp:positionV>
            <wp:extent cx="959472" cy="729615"/>
            <wp:effectExtent l="0" t="0" r="0" b="0"/>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959472" cy="729615"/>
                    </a:xfrm>
                    <a:prstGeom prst="rect">
                      <a:avLst/>
                    </a:prstGeom>
                    <a:ln/>
                  </pic:spPr>
                </pic:pic>
              </a:graphicData>
            </a:graphic>
          </wp:anchor>
        </w:drawing>
      </w:r>
      <w:r>
        <w:rPr>
          <w:b/>
        </w:rPr>
        <w:t>Strategic Plan Objective</w:t>
      </w:r>
    </w:p>
    <w:p w:rsidR="005841A8" w:rsidRDefault="003C3E7A">
      <w:pPr>
        <w:jc w:val="center"/>
        <w:rPr>
          <w:b/>
        </w:rPr>
      </w:pPr>
      <w:r>
        <w:rPr>
          <w:b/>
        </w:rPr>
        <w:t>Monitoring Report</w:t>
      </w:r>
    </w:p>
    <w:p w:rsidR="005841A8" w:rsidRDefault="003C3E7A">
      <w:pPr>
        <w:jc w:val="center"/>
      </w:pPr>
      <w:r>
        <w:rPr>
          <w:b/>
        </w:rPr>
        <w:t>Objective 4D</w:t>
      </w:r>
    </w:p>
    <w:p w:rsidR="005841A8" w:rsidRDefault="005841A8"/>
    <w:p w:rsidR="005841A8" w:rsidRDefault="003C3E7A">
      <w:r>
        <w:rPr>
          <w:b/>
        </w:rPr>
        <w:t>Objective 4D:</w:t>
      </w:r>
      <w:r>
        <w:t xml:space="preserve"> Mancos School District will encourage and provide teachers with the opportunity to teach non-traditional areas of interest (i.e. coding, game design, robotics, etc.).</w:t>
      </w:r>
    </w:p>
    <w:p w:rsidR="005841A8" w:rsidRDefault="005841A8"/>
    <w:p w:rsidR="005841A8" w:rsidRDefault="003C3E7A">
      <w:pPr>
        <w:rPr>
          <w:b/>
        </w:rPr>
      </w:pPr>
      <w:r>
        <w:rPr>
          <w:b/>
        </w:rPr>
        <w:t xml:space="preserve">Definition of terms </w:t>
      </w:r>
    </w:p>
    <w:p w:rsidR="005841A8" w:rsidRDefault="005841A8"/>
    <w:p w:rsidR="005841A8" w:rsidRDefault="003C3E7A">
      <w:pPr>
        <w:ind w:left="720"/>
      </w:pPr>
      <w:r>
        <w:rPr>
          <w:b/>
        </w:rPr>
        <w:t>non-traditional coursework:</w:t>
      </w:r>
      <w:r>
        <w:t xml:space="preserve"> any coursework outside of the traditional core curriculum of social studies, science, mathematics, language arts, health, and physical education</w:t>
      </w:r>
    </w:p>
    <w:p w:rsidR="005841A8" w:rsidRDefault="005841A8">
      <w:pPr>
        <w:rPr>
          <w:b/>
        </w:rPr>
      </w:pPr>
    </w:p>
    <w:p w:rsidR="005841A8" w:rsidRDefault="003C3E7A">
      <w:r>
        <w:rPr>
          <w:b/>
        </w:rPr>
        <w:t xml:space="preserve">Superintendent’s interpretation: </w:t>
      </w:r>
      <w:r>
        <w:t xml:space="preserve">Non-traditional coursework </w:t>
      </w:r>
      <w:r>
        <w:t xml:space="preserve">offerings, as defined above, would include welding, drone tech, EMT training, and medical training, courses which have been added to the high school schedule within the last year. Additionally, the </w:t>
      </w:r>
      <w:proofErr w:type="spellStart"/>
      <w:r>
        <w:t>elementary’s</w:t>
      </w:r>
      <w:proofErr w:type="spellEnd"/>
      <w:r>
        <w:t xml:space="preserve"> technology program and the middle school’s ro</w:t>
      </w:r>
      <w:r>
        <w:t>botics, coding, leadership, shop, and American Sign Language classes would fall under the definition of “non-traditional.”</w:t>
      </w:r>
    </w:p>
    <w:p w:rsidR="005841A8" w:rsidRDefault="005841A8">
      <w:pPr>
        <w:rPr>
          <w:b/>
        </w:rPr>
      </w:pPr>
    </w:p>
    <w:p w:rsidR="005841A8" w:rsidRDefault="003C3E7A">
      <w:r>
        <w:rPr>
          <w:b/>
        </w:rPr>
        <w:t xml:space="preserve">Rating: </w:t>
      </w:r>
      <w:r>
        <w:rPr>
          <w:u w:val="single"/>
        </w:rPr>
        <w:t>At Standard</w:t>
      </w:r>
    </w:p>
    <w:p w:rsidR="005841A8" w:rsidRDefault="005841A8"/>
    <w:p w:rsidR="005841A8" w:rsidRDefault="003C3E7A">
      <w:r>
        <w:rPr>
          <w:b/>
        </w:rPr>
        <w:t xml:space="preserve">Rationale: </w:t>
      </w:r>
      <w:r>
        <w:t>The rubric states that “Student transcripts reflect participation in and completion of non-tradition</w:t>
      </w:r>
      <w:r>
        <w:t xml:space="preserve">al coursework. Students use and demonstrate skills acquired through non-traditional programming in various demonstrations of learning.” Student transcripts would by definition reflect non-traditional coursework because these are the classes offered in the </w:t>
      </w:r>
      <w:r>
        <w:t xml:space="preserve">2022-2023 Master Schedule for the high school and the 2022-2023 Bell Schedule for the middle school. Middle school and elementary students do not receive transcripts, but rather report cards. </w:t>
      </w:r>
    </w:p>
    <w:p w:rsidR="005841A8" w:rsidRDefault="005841A8"/>
    <w:p w:rsidR="005841A8" w:rsidRDefault="003C3E7A">
      <w:pPr>
        <w:ind w:left="720"/>
      </w:pPr>
      <w:r>
        <w:rPr>
          <w:b/>
        </w:rPr>
        <w:t xml:space="preserve">High School: </w:t>
      </w:r>
      <w:r>
        <w:t xml:space="preserve">The master schedule for the high school reflects </w:t>
      </w:r>
      <w:r>
        <w:t>a major change in the way the high school operates. Last year, the schedule involved eight class periods of one hour each. This year, the schedule contains five class periods (all before lunch) of fifty minutes each and two blocks (after lunch) of ninety-f</w:t>
      </w:r>
      <w:r>
        <w:t>ive minutes each. Concurrent enrollment classes, along with traditional core classes, are offered during the fifty minute periods. Certification classes, Career Pathway classes, and “teacher passion” classes are offered during the ninety-five minute blocks</w:t>
      </w:r>
      <w:r>
        <w:t xml:space="preserve">. Students are also able to participate in Work </w:t>
      </w:r>
      <w:proofErr w:type="gramStart"/>
      <w:r>
        <w:t>Study,</w:t>
      </w:r>
      <w:proofErr w:type="gramEnd"/>
      <w:r>
        <w:t xml:space="preserve"> in which they are able to receive credit while on-the-job. In order to qualify, students must meet a credit number requirement and complete a reflection at the end of the semester. “Teacher passion” cl</w:t>
      </w:r>
      <w:r>
        <w:t xml:space="preserve">asses include Writing Lab, PBL Technology, Art, Band, and Career Exploration. See Table 1 for information on the certifications available to students through some of these courses. </w:t>
      </w:r>
    </w:p>
    <w:p w:rsidR="005841A8" w:rsidRDefault="005841A8">
      <w:pPr>
        <w:ind w:left="720"/>
      </w:pPr>
    </w:p>
    <w:p w:rsidR="005841A8" w:rsidRDefault="003C3E7A">
      <w:pPr>
        <w:ind w:left="720"/>
      </w:pPr>
      <w:r>
        <w:t xml:space="preserve">The registrar at the high school surveys students regularly each year to </w:t>
      </w:r>
      <w:r>
        <w:t xml:space="preserve">learn about their school and career goals and uses this information to place them into courses that will </w:t>
      </w:r>
      <w:r>
        <w:lastRenderedPageBreak/>
        <w:t xml:space="preserve">fulfill their goals. She also has an open-door policy which allows students to meet with her as needed to ask questions and seek guidance. </w:t>
      </w:r>
    </w:p>
    <w:p w:rsidR="005841A8" w:rsidRDefault="005841A8"/>
    <w:p w:rsidR="005841A8" w:rsidRDefault="005841A8"/>
    <w:tbl>
      <w:tblPr>
        <w:tblStyle w:val="a"/>
        <w:tblW w:w="970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40"/>
        <w:gridCol w:w="2340"/>
        <w:gridCol w:w="2340"/>
        <w:gridCol w:w="2685"/>
      </w:tblGrid>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Course</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De</w:t>
            </w:r>
            <w:r>
              <w:t>scription</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Certification(s)</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pPr>
            <w:r>
              <w:t>Number of enrolled as of 8/16/2022</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WELDING</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Welding</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rPr>
                <w:sz w:val="24"/>
                <w:szCs w:val="24"/>
              </w:rPr>
              <w:t>American Welding Society Industry Certification</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rPr>
                <w:sz w:val="24"/>
                <w:szCs w:val="24"/>
              </w:rPr>
            </w:pPr>
            <w:r>
              <w:rPr>
                <w:sz w:val="24"/>
                <w:szCs w:val="24"/>
              </w:rPr>
              <w:t>WEL 1000/1001 – 18</w:t>
            </w:r>
          </w:p>
          <w:p w:rsidR="005841A8" w:rsidRDefault="003C3E7A">
            <w:pPr>
              <w:widowControl w:val="0"/>
              <w:spacing w:line="240" w:lineRule="auto"/>
              <w:rPr>
                <w:sz w:val="24"/>
                <w:szCs w:val="24"/>
              </w:rPr>
            </w:pPr>
            <w:r>
              <w:rPr>
                <w:sz w:val="24"/>
                <w:szCs w:val="24"/>
              </w:rPr>
              <w:t>WEL 1003 – 18</w:t>
            </w:r>
          </w:p>
          <w:p w:rsidR="005841A8" w:rsidRDefault="003C3E7A">
            <w:pPr>
              <w:widowControl w:val="0"/>
              <w:spacing w:line="240" w:lineRule="auto"/>
              <w:rPr>
                <w:sz w:val="24"/>
                <w:szCs w:val="24"/>
              </w:rPr>
            </w:pPr>
            <w:r>
              <w:rPr>
                <w:sz w:val="24"/>
                <w:szCs w:val="24"/>
              </w:rPr>
              <w:t>WEL 106 – 2</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ENP 1005</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 xml:space="preserve">Entrepreneurship </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Entrepreneurship</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25</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ENP 2005</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Entrepreneurship</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proofErr w:type="spellStart"/>
            <w:r>
              <w:t>Hootsuite</w:t>
            </w:r>
            <w:proofErr w:type="spellEnd"/>
            <w:r>
              <w:t xml:space="preserve"> Social Media</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25</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HPR 1039</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Healthcare Practices</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EKG</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0</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HPR 1008</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Healthcare Practices</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Phlebotomy</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13</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HPR 1020</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Healthcare Practices</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Patient Care Tech</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0</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EMS 115</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Emergency Medical Services</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EMR</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11</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Culinary 1</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Culinary</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proofErr w:type="spellStart"/>
            <w:r>
              <w:t>Prostart</w:t>
            </w:r>
            <w:proofErr w:type="spellEnd"/>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20</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Culinary 2</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Culinary</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proofErr w:type="spellStart"/>
            <w:r>
              <w:t>Servesafe</w:t>
            </w:r>
            <w:proofErr w:type="spellEnd"/>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20</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 xml:space="preserve">Culinary </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Culinary</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Meat Science</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20</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UAS 1040/1050</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Unmanned Aircraft System (drone)</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Federal Aviation Administration Pilot License 107</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37</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Biology High School</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BASF</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Plant Science</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53</w:t>
            </w:r>
          </w:p>
        </w:tc>
      </w:tr>
      <w:tr w:rsidR="005841A8">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Biology High School</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Ducks Unlimited</w:t>
            </w:r>
          </w:p>
        </w:tc>
        <w:tc>
          <w:tcPr>
            <w:tcW w:w="2340" w:type="dxa"/>
            <w:shd w:val="clear" w:color="auto" w:fill="auto"/>
            <w:tcMar>
              <w:top w:w="100" w:type="dxa"/>
              <w:left w:w="100" w:type="dxa"/>
              <w:bottom w:w="100" w:type="dxa"/>
              <w:right w:w="100" w:type="dxa"/>
            </w:tcMar>
          </w:tcPr>
          <w:p w:rsidR="005841A8" w:rsidRDefault="003C3E7A">
            <w:pPr>
              <w:widowControl w:val="0"/>
              <w:spacing w:line="240" w:lineRule="auto"/>
            </w:pPr>
            <w:r>
              <w:t>Conservation</w:t>
            </w:r>
          </w:p>
        </w:tc>
        <w:tc>
          <w:tcPr>
            <w:tcW w:w="2685" w:type="dxa"/>
            <w:shd w:val="clear" w:color="auto" w:fill="auto"/>
            <w:tcMar>
              <w:top w:w="100" w:type="dxa"/>
              <w:left w:w="100" w:type="dxa"/>
              <w:bottom w:w="100" w:type="dxa"/>
              <w:right w:w="100" w:type="dxa"/>
            </w:tcMar>
          </w:tcPr>
          <w:p w:rsidR="005841A8" w:rsidRDefault="003C3E7A">
            <w:pPr>
              <w:widowControl w:val="0"/>
              <w:spacing w:line="240" w:lineRule="auto"/>
              <w:jc w:val="center"/>
            </w:pPr>
            <w:r>
              <w:t>53</w:t>
            </w:r>
          </w:p>
        </w:tc>
      </w:tr>
    </w:tbl>
    <w:p w:rsidR="005841A8" w:rsidRDefault="005841A8"/>
    <w:p w:rsidR="005841A8" w:rsidRDefault="003C3E7A">
      <w:r>
        <w:t>Table 1.</w:t>
      </w:r>
    </w:p>
    <w:p w:rsidR="005841A8" w:rsidRDefault="005841A8"/>
    <w:p w:rsidR="005841A8" w:rsidRDefault="003C3E7A">
      <w:pPr>
        <w:ind w:left="720"/>
      </w:pPr>
      <w:r>
        <w:rPr>
          <w:b/>
        </w:rPr>
        <w:t xml:space="preserve">Middle School: </w:t>
      </w:r>
      <w:r>
        <w:t>Within the middle school, there is far greater ability to allow teachers to teach courses of interest to both them and their students. This is already shown by the current middle school offerings, including Robotics, PBIS Leadership, Codin</w:t>
      </w:r>
      <w:r>
        <w:t>g, Stress Management, and Community Connections. One powerful reason for the middle school’s ability to be flexible with their elective offerings is because they don’t have graduation requirements like the high school does. The high school schedule, and th</w:t>
      </w:r>
      <w:r>
        <w:t xml:space="preserve">us the courses required of teachers to teach, is constrained by the requirements of graduation. </w:t>
      </w:r>
    </w:p>
    <w:p w:rsidR="005841A8" w:rsidRDefault="005841A8"/>
    <w:p w:rsidR="005841A8" w:rsidRDefault="003C3E7A">
      <w:pPr>
        <w:ind w:left="720"/>
      </w:pPr>
      <w:r>
        <w:rPr>
          <w:b/>
        </w:rPr>
        <w:t xml:space="preserve">Elementary School: </w:t>
      </w:r>
      <w:r>
        <w:t>At the elementary level, there are no “electives.” Students cannot pick and choose which enrichment classes they take. These are chosen for</w:t>
      </w:r>
      <w:r>
        <w:t xml:space="preserve"> them. The elementary enrichment course offerings consist of P.E., music, art, garden, library/technology, and character education. Students rotate through these electives as a class cohort. These courses are taught by teachers who are not the students’ re</w:t>
      </w:r>
      <w:r>
        <w:t>gular classroom teachers.</w:t>
      </w:r>
    </w:p>
    <w:p w:rsidR="005841A8" w:rsidRDefault="005841A8"/>
    <w:p w:rsidR="005841A8" w:rsidRDefault="003C3E7A">
      <w:pPr>
        <w:rPr>
          <w:b/>
        </w:rPr>
      </w:pPr>
      <w:r>
        <w:rPr>
          <w:b/>
        </w:rPr>
        <w:t xml:space="preserve">Needs and next steps: </w:t>
      </w:r>
    </w:p>
    <w:p w:rsidR="005841A8" w:rsidRDefault="005841A8"/>
    <w:p w:rsidR="005841A8" w:rsidRDefault="003C3E7A">
      <w:pPr>
        <w:numPr>
          <w:ilvl w:val="0"/>
          <w:numId w:val="1"/>
        </w:numPr>
      </w:pPr>
      <w:r>
        <w:t>It must be noted that there is a disconnect between what the objective is stating – that teachers will be “encourage</w:t>
      </w:r>
      <w:r>
        <w:t>[d]... to teach non-traditional areas of interest” – and what the rubric is measuring – “student transcripts.” Does “area of interest” refer to students or to teachers? It is possible that a master schedule, and subsequently a student transcript, will refl</w:t>
      </w:r>
      <w:r>
        <w:t xml:space="preserve">ect a range of non-traditional coursework, but that doesn’t necessarily mean that teachers were given opportunities to teach within their “areas of interest.” This suggests that there may need to be a revision to Objective 4D to allow for better alignment </w:t>
      </w:r>
      <w:r>
        <w:t xml:space="preserve">between the objective and the rubric. Clarifying language may be needed. </w:t>
      </w:r>
    </w:p>
    <w:p w:rsidR="005841A8" w:rsidRDefault="005841A8">
      <w:pPr>
        <w:ind w:left="720"/>
      </w:pPr>
    </w:p>
    <w:p w:rsidR="005841A8" w:rsidRDefault="003C3E7A">
      <w:pPr>
        <w:numPr>
          <w:ilvl w:val="0"/>
          <w:numId w:val="1"/>
        </w:numPr>
      </w:pPr>
      <w:r>
        <w:t xml:space="preserve">A better understanding of “non-traditional” may be required, as well. It may serve to have a better definition of the term if data is to be collected with fidelity. </w:t>
      </w:r>
    </w:p>
    <w:p w:rsidR="005841A8" w:rsidRDefault="005841A8"/>
    <w:p w:rsidR="005841A8" w:rsidRDefault="003C3E7A">
      <w:r>
        <w:t>STATEMENT OF C</w:t>
      </w:r>
      <w:r>
        <w:t>OMPLIANCE: I certify that the information contained in this report is true and I am in compliance with the provisions of this policy.</w:t>
      </w:r>
    </w:p>
    <w:p w:rsidR="005841A8" w:rsidRDefault="005841A8"/>
    <w:p w:rsidR="005841A8" w:rsidRDefault="003C3E7A">
      <w:r>
        <w:t>Signed __</w:t>
      </w:r>
      <w:r w:rsidR="00E66CA8">
        <w:rPr>
          <w:noProof/>
          <w:lang w:val="en-US"/>
        </w:rPr>
        <w:drawing>
          <wp:inline distT="0" distB="0" distL="0" distR="0">
            <wp:extent cx="2324100" cy="571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gnature.jpg"/>
                    <pic:cNvPicPr/>
                  </pic:nvPicPr>
                  <pic:blipFill>
                    <a:blip r:embed="rId8">
                      <a:extLst>
                        <a:ext uri="{28A0092B-C50C-407E-A947-70E740481C1C}">
                          <a14:useLocalDpi xmlns:a14="http://schemas.microsoft.com/office/drawing/2010/main" val="0"/>
                        </a:ext>
                      </a:extLst>
                    </a:blip>
                    <a:stretch>
                      <a:fillRect/>
                    </a:stretch>
                  </pic:blipFill>
                  <pic:spPr>
                    <a:xfrm>
                      <a:off x="0" y="0"/>
                      <a:ext cx="2324100" cy="571500"/>
                    </a:xfrm>
                    <a:prstGeom prst="rect">
                      <a:avLst/>
                    </a:prstGeom>
                  </pic:spPr>
                </pic:pic>
              </a:graphicData>
            </a:graphic>
          </wp:inline>
        </w:drawing>
      </w:r>
      <w:r w:rsidR="00E66CA8">
        <w:t>_</w:t>
      </w:r>
      <w:r>
        <w:t>_____________________________________</w:t>
      </w:r>
    </w:p>
    <w:p w:rsidR="005841A8" w:rsidRDefault="005841A8"/>
    <w:p w:rsidR="005841A8" w:rsidRDefault="00E66CA8">
      <w:r>
        <w:t>Date</w:t>
      </w:r>
      <w:r w:rsidR="003C3E7A">
        <w:t>__</w:t>
      </w:r>
      <w:r>
        <w:t>08.22.12_</w:t>
      </w:r>
      <w:bookmarkStart w:id="0" w:name="_GoBack"/>
      <w:bookmarkEnd w:id="0"/>
      <w:r w:rsidR="003C3E7A">
        <w:t>_____________________________</w:t>
      </w:r>
      <w:r w:rsidR="003C3E7A">
        <w:t>_________________________________</w:t>
      </w:r>
    </w:p>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5841A8"/>
    <w:p w:rsidR="005841A8" w:rsidRDefault="003C3E7A">
      <w:r>
        <w:t>Revised 8/30/2022 A. Farrar</w:t>
      </w:r>
    </w:p>
    <w:sectPr w:rsidR="005841A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3E7A" w:rsidRDefault="003C3E7A">
      <w:pPr>
        <w:spacing w:line="240" w:lineRule="auto"/>
      </w:pPr>
      <w:r>
        <w:separator/>
      </w:r>
    </w:p>
  </w:endnote>
  <w:endnote w:type="continuationSeparator" w:id="0">
    <w:p w:rsidR="003C3E7A" w:rsidRDefault="003C3E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41A8" w:rsidRDefault="005841A8"/>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3E7A" w:rsidRDefault="003C3E7A">
      <w:pPr>
        <w:spacing w:line="240" w:lineRule="auto"/>
      </w:pPr>
      <w:r>
        <w:separator/>
      </w:r>
    </w:p>
  </w:footnote>
  <w:footnote w:type="continuationSeparator" w:id="0">
    <w:p w:rsidR="003C3E7A" w:rsidRDefault="003C3E7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1683D"/>
    <w:multiLevelType w:val="multilevel"/>
    <w:tmpl w:val="7F7298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A8"/>
    <w:rsid w:val="003C3E7A"/>
    <w:rsid w:val="005841A8"/>
    <w:rsid w:val="00E66C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83E5A"/>
  <w15:docId w15:val="{F581B0C7-7CE1-4B8C-BE0E-646F80A56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845</Words>
  <Characters>4979</Characters>
  <Application>Microsoft Office Word</Application>
  <DocSecurity>0</DocSecurity>
  <Lines>171</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cordrey</dc:creator>
  <cp:lastModifiedBy>todd cordrey</cp:lastModifiedBy>
  <cp:revision>2</cp:revision>
  <dcterms:created xsi:type="dcterms:W3CDTF">2022-11-15T15:18:00Z</dcterms:created>
  <dcterms:modified xsi:type="dcterms:W3CDTF">2022-11-15T15:18:00Z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3b0021ad2d0aa5a79f7a335784977c085523a8804b055ebfa4caffbfc11c0d00</vt:lpwstr>
  </property>
</Properties>
</file>